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F55" w14:textId="50D1B152" w:rsidR="00AF716C" w:rsidRPr="00D22436" w:rsidRDefault="00F56E69" w:rsidP="00F56E69">
      <w:pPr>
        <w:ind w:left="7080"/>
        <w:rPr>
          <w:rFonts w:ascii="Arial" w:hAnsi="Arial" w:cs="Arial"/>
          <w:b/>
          <w:bCs/>
        </w:rPr>
      </w:pPr>
      <w:r w:rsidRPr="00D22436">
        <w:rPr>
          <w:rFonts w:ascii="Arial" w:hAnsi="Arial" w:cs="Arial"/>
          <w:b/>
          <w:bCs/>
        </w:rPr>
        <w:t xml:space="preserve">Załącznik nr </w:t>
      </w:r>
      <w:r w:rsidR="00203DE0">
        <w:rPr>
          <w:rFonts w:ascii="Arial" w:hAnsi="Arial" w:cs="Arial"/>
          <w:b/>
          <w:bCs/>
        </w:rPr>
        <w:t>4</w:t>
      </w:r>
    </w:p>
    <w:p w14:paraId="17884C3C" w14:textId="5B2AFC7E" w:rsidR="00AF716C" w:rsidRPr="00D22436" w:rsidRDefault="00AF716C" w:rsidP="00F56E69">
      <w:pPr>
        <w:jc w:val="both"/>
        <w:rPr>
          <w:rFonts w:ascii="Arial" w:hAnsi="Arial" w:cs="Arial"/>
          <w:b/>
          <w:bCs/>
        </w:rPr>
      </w:pPr>
      <w:r w:rsidRPr="00D22436">
        <w:rPr>
          <w:rFonts w:ascii="Arial" w:hAnsi="Arial" w:cs="Arial"/>
          <w:b/>
          <w:bCs/>
        </w:rPr>
        <w:t>Ustawa z dnia 8 września 2000 r. o komercjalizacji i restrukturyzacji przedsiębiorstwa państwowego „Polskie Koleje Państwowe” (Dz. U. z 2021 r. poz. 146 z późn. zm.) – wyciąg.</w:t>
      </w:r>
    </w:p>
    <w:p w14:paraId="7B386740" w14:textId="77777777" w:rsidR="00AF716C" w:rsidRPr="00D22436" w:rsidRDefault="00AF716C" w:rsidP="00AF716C">
      <w:pPr>
        <w:rPr>
          <w:rFonts w:ascii="Arial" w:hAnsi="Arial" w:cs="Arial"/>
        </w:rPr>
      </w:pPr>
    </w:p>
    <w:p w14:paraId="6C6C36B8" w14:textId="62E1604D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Art. 18. 1. PKP SA nie może bez zgody PLK SA sprzedać lub ustanowić hipoteki na nieruchomości stanowiącej linię kolejową, w rozumieniu przepisów ustawy z dnia 28 marca 2003 r. o transporcie kolejowym, i przekazanej PLK SA na podstawie umowy, o której mowa w art. 17 ust. 6.</w:t>
      </w:r>
    </w:p>
    <w:p w14:paraId="625C8C7D" w14:textId="5F6485A8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2. PKP SA, PLK SA oraz spółki, o których mowa w art. 14 i 19, a także spółki utworzone przez PKP do dnia, w którym skuteczny stał się wpis PKP SA do rejestru przedsiębiorców, w których Skarb Państwa, PKP SA lub państwowe osoby prawne posiadają 100% akcji lub udziałów, są obowiązane uzyskać zgodę ministra właściwego do spraw transportu na dokonanie czynności prawnej w zakresie rozporządzenia składnikami aktywów trwałych w rozumieniu przepisów ustawy z dnia 29 września 1994 r. o rachunkowości (Dz. U. z 2019 r. poz. 351, z późn. zm.7), zaliczonymi do wartości niematerialnych i prawnych, rzeczowych aktywów trwałych lub inwestycji długoterminowych, w tym oddania tych składników do korzystania innym podmiotom na podstawie umów prawa cywilnego lub ich wniesienia jako wkładu do spółki, jeżeli wartość rynkowa przedmiotu rozporządzenia przekracza równowartość w złotych kwoty 50 000 euro, obliczoną na podstawie średniego kursu ogłoszonego przez Narodowy Bank Polski, według stanu z dnia wystąpienia o zgodę, z zastrzeżeniem ust. 2b i 6a.</w:t>
      </w:r>
    </w:p>
    <w:p w14:paraId="39D7BB87" w14:textId="1D26A515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2a. Do czynności prawnych, o których mowa w ust. 2 i 3a, nie stosuje się przepisów art. 38–41 ustawy z dnia 16 grudnia 2016 r. o zasadach zarządzania mieniem państwowym.</w:t>
      </w:r>
    </w:p>
    <w:p w14:paraId="2442096E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2b. Nie wymaga zgody, o której mowa w ust. 2, czynność prawna:</w:t>
      </w:r>
    </w:p>
    <w:p w14:paraId="14707D35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1) PKP SA, na której dokonanie jest wymagana zgoda walnego zgromadzenia PKP</w:t>
      </w:r>
    </w:p>
    <w:p w14:paraId="3A800F3B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SA;</w:t>
      </w:r>
    </w:p>
    <w:p w14:paraId="09D694C0" w14:textId="14F2E672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2) PKP SA, polegająca na zbywaniu budynków mieszkalnych lub lokali mieszkalnych wraz z prawem do odpowiedniej przynależnej do nich części gruntu oraz towarzyszącymi urządzeniami infrastruktury technicznej, jeżeli odbywa się na zasadach określonych w rozdziale 7;</w:t>
      </w:r>
    </w:p>
    <w:p w14:paraId="58678535" w14:textId="3AC239D0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3) PLK SA, polegająca na oddaniu, na okres nie dłuższy niż 6 miesięcy, do odpłatnego korzystania maszyn lub urządzeń przedsiębiorcom wykonującym roboty budowlane na rzecz PLK SA;</w:t>
      </w:r>
    </w:p>
    <w:p w14:paraId="6E544C3D" w14:textId="55A1FAB4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4) PLK SA lub PKP SA dokonywana ze Spółką Celową, o której mowa w art. 2 pkt 10 ustawy z dnia 10 maja 2018 r. o Centralnym Porcie Komunikacyjnym (Dz. U. z 2021 r. poz. 1354 oraz z 2022 r. poz. 807, 1079, 1390 i 1846), lub spółką, o której mowa w art. 15 ust. 1 tej ustawy, dotycząca aktywów trwałych zaliczanych do wartości niematerialnych i prawnych.</w:t>
      </w:r>
    </w:p>
    <w:p w14:paraId="0B2E688B" w14:textId="00F8F188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2c. Z wnioskiem o wyrażenie zgody, o której mowa w ust. 2, występują spółki: PKP SA, PLK SA lub spółki, o których mowa w art. 14 i 19, a także spółki utworzone przez PKP do dnia, w którym skuteczny stał się wpis PKP SA do rejestru przedsiębiorców, w których Skarb Państwa, PKP SA lub państwowe osoby prawne posiadają 100% akcji lub udziałów, określając:</w:t>
      </w:r>
    </w:p>
    <w:p w14:paraId="10D5E9D3" w14:textId="3D8FB5A0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1) przedmiot rozporządzenia z wyszczególnieniem danych ewidencyjnych identyfikujących składniki aktywów trwałych;</w:t>
      </w:r>
    </w:p>
    <w:p w14:paraId="7977FDDE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lastRenderedPageBreak/>
        <w:t>2) wartość rynkową przedmiotu rozporządzenia;</w:t>
      </w:r>
    </w:p>
    <w:p w14:paraId="0B533306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3) sposób rozporządzenia;</w:t>
      </w:r>
    </w:p>
    <w:p w14:paraId="11D92CF2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4) podmiot, na rzecz którego nastąpi rozporządzenie;</w:t>
      </w:r>
    </w:p>
    <w:p w14:paraId="539E097E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5) uzasadnienie gospodarcze czynności prawnej.</w:t>
      </w:r>
    </w:p>
    <w:p w14:paraId="70DF0ED9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2d. Do wniosku, o którym mowa w ust. 2c, dołącza się:</w:t>
      </w:r>
    </w:p>
    <w:p w14:paraId="699EE093" w14:textId="1E1418DF" w:rsidR="003E67F9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1) dokumenty potwierdzające:</w:t>
      </w:r>
    </w:p>
    <w:p w14:paraId="7DAEA351" w14:textId="67DC550D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a) prawo do przedmiotu rozporządzenia,</w:t>
      </w:r>
    </w:p>
    <w:p w14:paraId="37E0B8D7" w14:textId="5876CAD5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b) wartość rynkową przedmiotu rozporządzenia, o której mowa w ust. 2c pkt 2: wycenę rzeczoznawcy albo oświadczenie wnioskodawcy – jeżeli wartość przedmiotu rozporządzenia można ustalić na podstawie opublikowanych cenników lub notowań giełdowych albo jeżeli koszt wyceny przewyższa 20% wartości bilansowej przedmiotu rozporządzenia;</w:t>
      </w:r>
    </w:p>
    <w:p w14:paraId="431FE97F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2) projekt umowy, na podstawie której ma być dokonane rozporządzenie;</w:t>
      </w:r>
    </w:p>
    <w:p w14:paraId="3A4D7B5D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3) inne dokumenty potwierdzające dane i informacje zawarte we wniosku.</w:t>
      </w:r>
    </w:p>
    <w:p w14:paraId="2B3DFC1D" w14:textId="01A956BB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2e. Zgoda, o której mowa w ust. 2, jest wyrażana na czas oznaczony, nie dłuższy niż rok. Zgoda może zostać wydana z zastrzeżeniem warunków.</w:t>
      </w:r>
    </w:p>
    <w:p w14:paraId="33CBB09B" w14:textId="00043201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3. Nie podlega sprzedaży mienie wchodzące w skład linii kolejowej o państwowym znaczeniu, będącej własnością PKP SA, PLK SA lub Skarbu Państwa.</w:t>
      </w:r>
    </w:p>
    <w:p w14:paraId="755A74FC" w14:textId="52F8DCAD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3a. Za zgodą ministra właściwego do spraw transportu mienie, o którym mowa w ust. 3, może być zbyte na rzecz Spółki Celowej, o której mowa w art. 2 pkt 10 ustawy z dnia 10 maja 2018 r. o Centralnym Porcie Komunikacyjnym, lub spółki, o której mowa w art. 15 ust. 1 tej ustawy.</w:t>
      </w:r>
    </w:p>
    <w:p w14:paraId="018FD4E0" w14:textId="71A49049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3b. Do wniosku złożonego przez Spółkę Celową, o której mowa w art. 2 pkt 10 ustawy z dnia 10 maja 2018 r. o Centralnym Porcie Komunikacyjnym, lub spółkę, o której mowa w art. 15 ust. 1 tej ustawy, o wydanie zgody, o której mowa w ust. 3a, dołącza się opinię PKP SA i PLK SA.</w:t>
      </w:r>
    </w:p>
    <w:p w14:paraId="35088F97" w14:textId="79385468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3c. Opinia, o której mowa w ust. 3b, jest wydawana na wniosek Spółki Celowej, o której mowa w art. 2 pkt 10 ustawy z dnia 10 maja 2018 r. o Centralnym Porcie Komunikacyjnym, lub spółki, o której mowa w art. 15 ust. 1 tej ustawy, w terminie nie dłuższym niż 30 dni od dnia otrzymania wniosku o wydanie opinii. Niewydanie opinii w tym terminie traktuje się jako brak zastrzeżeń do wniosku o wydanie zgody, o której mowa w ust. 3a.</w:t>
      </w:r>
    </w:p>
    <w:p w14:paraId="5E55DB28" w14:textId="125D092F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4. Zgoda, o której mowa w ust. 2 lub 3a, lub odmowa zgody jest wyrażana w drodze decyzji administracyjnej.</w:t>
      </w:r>
    </w:p>
    <w:p w14:paraId="1EC583EC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5. (uchylony)</w:t>
      </w:r>
    </w:p>
    <w:p w14:paraId="1A62A7EA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6. (uchylony)</w:t>
      </w:r>
    </w:p>
    <w:p w14:paraId="6D4D6E9E" w14:textId="4F01DB3E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6a. Do dokonywania przez PLK SA albo PKP SA czynności prawnych polegających na nieodpłatnym przejęciu przez właściwą miejscowo jednostkę samorządu terytorialnego albo wskazanego przez nią zarządcę linii kolejowej lub odcinka linii kolejowej w zarządzanie, w celu jej dalszej eksploatacji na okres nie dłuższy niż 3 lata, zgoda ministra właściwego do spraw transportu nie jest wymagana.</w:t>
      </w:r>
    </w:p>
    <w:p w14:paraId="31BFDD28" w14:textId="27911D1E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Zgoda ministra właściwego do spraw transportu jest wymagana do kolejnej czynności prawnej dotyczącej tego samego przedmiotu rozporządzenia lub okresu dłuższego niż 3 lata.</w:t>
      </w:r>
    </w:p>
    <w:p w14:paraId="2894142F" w14:textId="77777777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lastRenderedPageBreak/>
        <w:t>7. Czynności prawne dokonane z naruszeniem ust. 2, 3a i 6a są nieważne.</w:t>
      </w:r>
    </w:p>
    <w:p w14:paraId="0BF9F6C6" w14:textId="50F834D6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 xml:space="preserve">8. PKP SA i PLK SA nie mogą sprzedawać, wnosić do spółek lub oddawać do odpłatnego korzystania innym podmiotom budynków mieszkalnych będących ich własnością, </w:t>
      </w:r>
      <w:r w:rsidR="00D22436">
        <w:rPr>
          <w:rFonts w:ascii="Arial" w:hAnsi="Arial" w:cs="Arial"/>
        </w:rPr>
        <w:t xml:space="preserve">                          </w:t>
      </w:r>
      <w:r w:rsidRPr="00D22436">
        <w:rPr>
          <w:rFonts w:ascii="Arial" w:hAnsi="Arial" w:cs="Arial"/>
        </w:rPr>
        <w:t>z zastrzeżeniem przepisów ust. 9 i rozdziału 7.</w:t>
      </w:r>
    </w:p>
    <w:p w14:paraId="040AE002" w14:textId="5521E725" w:rsidR="00AF716C" w:rsidRPr="00D22436" w:rsidRDefault="00AF716C" w:rsidP="00F56E69">
      <w:pPr>
        <w:jc w:val="both"/>
        <w:rPr>
          <w:rFonts w:ascii="Arial" w:hAnsi="Arial" w:cs="Arial"/>
        </w:rPr>
      </w:pPr>
      <w:r w:rsidRPr="00D22436">
        <w:rPr>
          <w:rFonts w:ascii="Arial" w:hAnsi="Arial" w:cs="Arial"/>
        </w:rPr>
        <w:t>9. PKP SA wniesie do PLK SA w formie wkładu niepieniężnego, w uzgodnionych wzajemnie terminach i na uzgodnionych warunkach, budynki wraz z zajętymi pod nie gruntami, niezbędne do zarządzania infrastrukturą kolejową, eksploatacji i utrzymania infrastruktury kolejowej, w których znajdują się lokale mieszkalne, położone na gruntach wchodzących w skład linii kolejowej.</w:t>
      </w:r>
    </w:p>
    <w:sectPr w:rsidR="00AF716C" w:rsidRPr="00D2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24"/>
    <w:rsid w:val="001A7F24"/>
    <w:rsid w:val="00203DE0"/>
    <w:rsid w:val="00236F2F"/>
    <w:rsid w:val="003E67F9"/>
    <w:rsid w:val="005572FF"/>
    <w:rsid w:val="00AF716C"/>
    <w:rsid w:val="00CF3AED"/>
    <w:rsid w:val="00D22436"/>
    <w:rsid w:val="00D846EE"/>
    <w:rsid w:val="00F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E37"/>
  <w15:chartTrackingRefBased/>
  <w15:docId w15:val="{63CF1E87-A6EE-4B83-92F9-F1F90BF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5553</Characters>
  <Application>Microsoft Office Word</Application>
  <DocSecurity>0</DocSecurity>
  <Lines>46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Chmielowicz</dc:creator>
  <cp:keywords/>
  <dc:description/>
  <cp:lastModifiedBy>Adam Winnicki</cp:lastModifiedBy>
  <cp:revision>7</cp:revision>
  <dcterms:created xsi:type="dcterms:W3CDTF">2022-11-14T13:13:00Z</dcterms:created>
  <dcterms:modified xsi:type="dcterms:W3CDTF">2022-12-12T10:09:00Z</dcterms:modified>
</cp:coreProperties>
</file>